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23" w:rsidRDefault="0059352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523" w:rsidRDefault="004A1AD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 </w:t>
      </w:r>
    </w:p>
    <w:p w:rsidR="00593523" w:rsidRDefault="004A1AD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главы Копанского    сельского поселения о проделанной работе </w:t>
      </w:r>
    </w:p>
    <w:p w:rsidR="00593523" w:rsidRDefault="004A1AD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 2022  год</w:t>
      </w:r>
    </w:p>
    <w:p w:rsidR="00593523" w:rsidRDefault="0059352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523" w:rsidRDefault="00593523">
      <w:pPr>
        <w:shd w:val="clear" w:color="auto" w:fill="FFFFFF"/>
        <w:tabs>
          <w:tab w:val="left" w:pos="3178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523" w:rsidRDefault="004A1AD2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Уважаемый президиум, уважаемые депутаты, жители сельского поселения, коллеги, гости!</w:t>
      </w:r>
    </w:p>
    <w:p w:rsidR="00593523" w:rsidRDefault="00593523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593523" w:rsidRDefault="004A1A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мы проводим  открытую сессию Совета поселения для того, чтобы дать  объективную оценку нашей совместной работе, подвести итоги, сделать выводы, определить планы на будущее. В 2022 году администрацией Копанского сельского поселения была продолжена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 по максимально эффективному выполнению задач в сфере организации деятельности местного самоуправления, обеспечения исполнения возложенных на администрацию поселения полномочий.  В целях достижения задач, поставленных губернатором Краснодарского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Вениамином Ивановичем Кондратьевым и главой муниципального образования Ейский  район Романом Юрьевичем Бубликом, администрацией поселения проведена определенная работа по каждому из направлений деятельности.  </w:t>
      </w:r>
    </w:p>
    <w:p w:rsidR="00593523" w:rsidRDefault="004A1A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Остановлюсь  более конкретно на наших результ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атах.</w:t>
      </w:r>
    </w:p>
    <w:p w:rsidR="00593523" w:rsidRDefault="004A1AD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   Неотъемлемой частью  работы администрации поселения является работа с населением.  Для  нас самое главное – это прямой диалог с жителями.  Именно во время личных встреч  мы говорим открыто, узнаем о проблемах и принимаем совместные решения.</w:t>
      </w:r>
    </w:p>
    <w:p w:rsidR="00593523" w:rsidRDefault="004A1AD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администрацию Копанского сельского поселения Ейского района  в 2022   году поступило 21  письменное   обращение граждан.  В сравнении с 2021 годом количество поступивших обращений увеличилось  на  17.                      </w:t>
      </w:r>
    </w:p>
    <w:p w:rsidR="00593523" w:rsidRDefault="004A1AD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Доля обращений, рассм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атриваемых по поручению администрации Краснодарского края в  сравнении с 2021 годом увеличилась.</w:t>
      </w:r>
    </w:p>
    <w:p w:rsidR="00593523" w:rsidRDefault="004A1A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Среди  обращений граждан, </w:t>
      </w:r>
      <w:r>
        <w:rPr>
          <w:rFonts w:ascii="Times New Roman" w:hAnsi="Times New Roman"/>
          <w:sz w:val="28"/>
          <w:szCs w:val="28"/>
        </w:rPr>
        <w:t xml:space="preserve">поступивших в администрацию Копанского  сельского поселения  в   2022 году: доминируют обращения  по  вопросу содержания домашних </w:t>
      </w:r>
      <w:r>
        <w:rPr>
          <w:rFonts w:ascii="Times New Roman" w:hAnsi="Times New Roman"/>
          <w:sz w:val="28"/>
          <w:szCs w:val="28"/>
        </w:rPr>
        <w:t xml:space="preserve">животных (2 обращения), 2 обращения по вопросу  оказания социальной помощи (оказание помощи в оплате по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задолженности за газопотребление и приобретение жилого вагончика для дачного участка),  1 обращение по вопросу рассмотрения жалобы на проведение собрани</w:t>
      </w:r>
      <w:r>
        <w:rPr>
          <w:rFonts w:ascii="Times New Roman" w:hAnsi="Times New Roman"/>
          <w:sz w:val="28"/>
          <w:szCs w:val="28"/>
        </w:rPr>
        <w:t>я участников общей долевой собственности на земельный участок сельскохозяйственного назначения (земельный участок сельскохозяйственного назначения с кадастровым номером 23:08:0000000:73 площадью 105503965 кв.м., расположенного по адресному ориентиру (место</w:t>
      </w:r>
      <w:r>
        <w:rPr>
          <w:rFonts w:ascii="Times New Roman" w:hAnsi="Times New Roman"/>
          <w:sz w:val="28"/>
          <w:szCs w:val="28"/>
        </w:rPr>
        <w:t>положение): Краснодарский край, Ейский район, Копанской с/о, в границах плана ЗАО «Родина»),  1 обращение о замене фонаря уличного освещения, по нарушению правил противопожарного режима 1 обращение, 1 обращение (выдача справки о составе семьи из архива адм</w:t>
      </w:r>
      <w:r>
        <w:rPr>
          <w:rFonts w:ascii="Times New Roman" w:hAnsi="Times New Roman"/>
          <w:sz w:val="28"/>
          <w:szCs w:val="28"/>
        </w:rPr>
        <w:t xml:space="preserve">инистрации) 1 </w:t>
      </w:r>
      <w:r>
        <w:rPr>
          <w:rFonts w:ascii="Times New Roman" w:hAnsi="Times New Roman"/>
          <w:sz w:val="28"/>
          <w:szCs w:val="28"/>
        </w:rPr>
        <w:lastRenderedPageBreak/>
        <w:t>обращение по вопросу вывоза ТКО региональным оператором ООО «Чистая станица» и 8 обращений личного характера.</w:t>
      </w:r>
      <w:r>
        <w:rPr>
          <w:sz w:val="28"/>
          <w:szCs w:val="28"/>
        </w:rPr>
        <w:t xml:space="preserve"> </w:t>
      </w:r>
    </w:p>
    <w:p w:rsidR="00593523" w:rsidRDefault="004A1AD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личном приеме главой поселения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за отчетный период  были приняты  63  человека.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актуальными для заявителей были  вопросы ЖКХ  и    благоустройства территории поселения,  такие вопросы содержались в  49 обращениях,   с  вопросами частного характера  обратились 14 жителей. </w:t>
      </w:r>
    </w:p>
    <w:p w:rsidR="00593523" w:rsidRDefault="004A1AD2">
      <w:pPr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В целях решения поставленных в обращениях вопросов 18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 xml:space="preserve"> заявителям даны подробные разъяснения по поднимаемым вопросам. ПО 31 обращению приняты меры, а именно:</w:t>
      </w:r>
    </w:p>
    <w:p w:rsidR="00593523" w:rsidRDefault="004A1AD2">
      <w:pPr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- вопросы оказания бытовой помощи семьям мобилизованных граждан;</w:t>
      </w:r>
    </w:p>
    <w:p w:rsidR="00593523" w:rsidRDefault="004A1AD2">
      <w:pPr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-покос сорной травы;</w:t>
      </w:r>
    </w:p>
    <w:p w:rsidR="00593523" w:rsidRDefault="004A1AD2">
      <w:pPr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-вывезены спиленные ветки вдоль линий электропередач и газопровода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;</w:t>
      </w:r>
    </w:p>
    <w:p w:rsidR="00593523" w:rsidRDefault="004A1AD2">
      <w:pPr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- на трёх улицах установлены общественные контейнеры, при размещении которых,  учитывалось мнение жителей.</w:t>
      </w:r>
    </w:p>
    <w:p w:rsidR="00593523" w:rsidRDefault="00593523">
      <w:pPr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</w:p>
    <w:p w:rsidR="00593523" w:rsidRDefault="004A1AD2">
      <w:pPr>
        <w:pStyle w:val="1"/>
        <w:jc w:val="both"/>
        <w:rPr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информирования  населения о работе администрации используется официальный сайт поселения  страничка в социальной сети Телеграм,  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 мероприятиях, проводимых на территории поселения публикуется на странице «ТОС Копанского сельского поселения» в сети Интернет</w:t>
      </w:r>
      <w:r>
        <w:t>.</w:t>
      </w:r>
    </w:p>
    <w:p w:rsidR="00593523" w:rsidRDefault="004A1A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полноценной реализации полномочий органов местного самоуправления необходима прочная финансовая основа. Поэтому выполнение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бюджетных обязательств, наполнение поселенческого бюджета и рациональное его использование является для нас наиважнейшей задачей. Администрацией поселения принимаются все необходимые меры для обеспечения мобилизации доходов в бюджет поселения и улучшения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правления финансами.</w:t>
      </w:r>
    </w:p>
    <w:p w:rsidR="00593523" w:rsidRDefault="0059352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93523" w:rsidRDefault="00593523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tbl>
      <w:tblPr>
        <w:tblW w:w="9682" w:type="dxa"/>
        <w:tblInd w:w="108" w:type="dxa"/>
        <w:tblLook w:val="04A0" w:firstRow="1" w:lastRow="0" w:firstColumn="1" w:lastColumn="0" w:noHBand="0" w:noVBand="1"/>
      </w:tblPr>
      <w:tblGrid>
        <w:gridCol w:w="8658"/>
        <w:gridCol w:w="1024"/>
      </w:tblGrid>
      <w:tr w:rsidR="00593523">
        <w:trPr>
          <w:trHeight w:val="255"/>
        </w:trPr>
        <w:tc>
          <w:tcPr>
            <w:tcW w:w="8658" w:type="dxa"/>
            <w:noWrap/>
            <w:vAlign w:val="bottom"/>
          </w:tcPr>
          <w:p w:rsidR="00593523" w:rsidRDefault="0059352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93523" w:rsidRDefault="004A1A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Исполнение  доходной части бюджета за 2022  год</w:t>
            </w:r>
          </w:p>
          <w:p w:rsidR="00593523" w:rsidRDefault="004A1A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представлены  вашему вниманию.</w:t>
            </w:r>
          </w:p>
        </w:tc>
        <w:tc>
          <w:tcPr>
            <w:tcW w:w="1024" w:type="dxa"/>
            <w:noWrap/>
            <w:vAlign w:val="bottom"/>
          </w:tcPr>
          <w:p w:rsidR="00593523" w:rsidRDefault="005935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93523" w:rsidRDefault="00593523">
      <w:pPr>
        <w:tabs>
          <w:tab w:val="left" w:pos="88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59"/>
        <w:gridCol w:w="1620"/>
        <w:gridCol w:w="1440"/>
        <w:gridCol w:w="1440"/>
      </w:tblGrid>
      <w:tr w:rsidR="00593523">
        <w:trPr>
          <w:trHeight w:val="8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доходов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 на 2022год</w:t>
            </w:r>
          </w:p>
          <w:p w:rsidR="00593523" w:rsidRDefault="004A1A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тыс.руб.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факт  2022год</w:t>
            </w:r>
          </w:p>
          <w:p w:rsidR="00593523" w:rsidRDefault="004A1A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 исполнения плана </w:t>
            </w:r>
          </w:p>
        </w:tc>
      </w:tr>
      <w:tr w:rsidR="0059352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Налоговые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523" w:rsidRDefault="0059352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523" w:rsidRDefault="005935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23" w:rsidRDefault="005935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352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523" w:rsidRDefault="004A1A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Акцизы по подакцизным товарам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3266,3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3769,1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23" w:rsidRDefault="004A1AD2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115,4</w:t>
            </w:r>
          </w:p>
        </w:tc>
      </w:tr>
      <w:tr w:rsidR="0059352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7362,5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523" w:rsidRDefault="004A1AD2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59352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Налог на имущество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670,4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104,8</w:t>
            </w:r>
          </w:p>
        </w:tc>
      </w:tr>
      <w:tr w:rsidR="0059352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Земельный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6792,7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59352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523" w:rsidRDefault="004A1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19,8</w:t>
            </w:r>
          </w:p>
        </w:tc>
      </w:tr>
    </w:tbl>
    <w:p w:rsidR="00593523" w:rsidRDefault="00593523"/>
    <w:p w:rsidR="00593523" w:rsidRDefault="004A1A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Неналоговые доходы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59"/>
        <w:gridCol w:w="1620"/>
        <w:gridCol w:w="1440"/>
        <w:gridCol w:w="1440"/>
      </w:tblGrid>
      <w:tr w:rsidR="0059352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сдачи в аренду имущества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107,5</w:t>
            </w:r>
          </w:p>
        </w:tc>
      </w:tr>
      <w:tr w:rsidR="0059352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140,2</w:t>
            </w:r>
          </w:p>
        </w:tc>
      </w:tr>
      <w:tr w:rsidR="0059352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523" w:rsidRDefault="004A1A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101,8</w:t>
            </w:r>
          </w:p>
        </w:tc>
      </w:tr>
      <w:tr w:rsidR="0059352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523" w:rsidRDefault="004A1A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104,1</w:t>
            </w:r>
          </w:p>
        </w:tc>
      </w:tr>
    </w:tbl>
    <w:p w:rsidR="00593523" w:rsidRDefault="00593523">
      <w:pPr>
        <w:rPr>
          <w:rFonts w:ascii="Times New Roman" w:hAnsi="Times New Roman"/>
          <w:b/>
          <w:sz w:val="28"/>
          <w:szCs w:val="28"/>
        </w:rPr>
      </w:pPr>
    </w:p>
    <w:p w:rsidR="00593523" w:rsidRDefault="004A1A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Безвозмездные перечисления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59"/>
        <w:gridCol w:w="1620"/>
        <w:gridCol w:w="1440"/>
        <w:gridCol w:w="1440"/>
      </w:tblGrid>
      <w:tr w:rsidR="0059352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523" w:rsidRDefault="004A1A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Безвозмездные поступления из других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3927,8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3927,8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59352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523" w:rsidRDefault="004A1A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23541,8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23364,9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99,2</w:t>
            </w:r>
          </w:p>
        </w:tc>
      </w:tr>
    </w:tbl>
    <w:p w:rsidR="00593523" w:rsidRDefault="0059352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593523" w:rsidRDefault="0059352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593523" w:rsidRDefault="0059352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593523" w:rsidRDefault="004A1A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бюджет   поселения в 2022  году  поступило доходов  23 млн 364 тыс.900  руб., в том числе:</w:t>
      </w:r>
    </w:p>
    <w:p w:rsidR="00593523" w:rsidRDefault="004A1AD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налоговые  18 млн. 787 тыс 300  рублей</w:t>
      </w:r>
    </w:p>
    <w:p w:rsidR="00593523" w:rsidRDefault="004A1AD2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неналоговые доходы –  649 тыс. 800 рублей</w:t>
      </w:r>
    </w:p>
    <w:tbl>
      <w:tblPr>
        <w:tblW w:w="9682" w:type="dxa"/>
        <w:tblInd w:w="108" w:type="dxa"/>
        <w:tblLook w:val="04A0" w:firstRow="1" w:lastRow="0" w:firstColumn="1" w:lastColumn="0" w:noHBand="0" w:noVBand="1"/>
      </w:tblPr>
      <w:tblGrid>
        <w:gridCol w:w="8658"/>
        <w:gridCol w:w="1024"/>
      </w:tblGrid>
      <w:tr w:rsidR="00593523">
        <w:trPr>
          <w:trHeight w:val="255"/>
        </w:trPr>
        <w:tc>
          <w:tcPr>
            <w:tcW w:w="8658" w:type="dxa"/>
            <w:noWrap/>
            <w:vAlign w:val="bottom"/>
          </w:tcPr>
          <w:p w:rsidR="00593523" w:rsidRDefault="004A1AD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-безвозмездные перечисления бюджетов всех уровней –  3 млн. 927 тыс. 800 рублей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93523" w:rsidRDefault="0059352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noWrap/>
            <w:vAlign w:val="bottom"/>
          </w:tcPr>
          <w:p w:rsidR="00593523" w:rsidRDefault="005935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93523" w:rsidRDefault="004A1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Доходы  бюджета в 2022 году исполнены  на  99,2 %.</w:t>
      </w:r>
    </w:p>
    <w:p w:rsidR="00593523" w:rsidRDefault="0059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523" w:rsidRDefault="004A1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Основную  долю  собственных доходов  составляют </w:t>
      </w:r>
    </w:p>
    <w:p w:rsidR="00593523" w:rsidRDefault="004A1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земельный налог – 34,9 %</w:t>
      </w:r>
    </w:p>
    <w:p w:rsidR="00593523" w:rsidRDefault="004A1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НДФЛ –  37,9%</w:t>
      </w:r>
    </w:p>
    <w:p w:rsidR="00593523" w:rsidRDefault="004A1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акцизы – 19,4  %.</w:t>
      </w:r>
    </w:p>
    <w:p w:rsidR="00593523" w:rsidRDefault="0059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523" w:rsidRDefault="004A1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обеспечения расходной части увеличены доходы по НДФЛ и сельскохозяйственному налогу, поэтому исполнение составило 97,9% и 19,8% соответственно.</w:t>
      </w:r>
    </w:p>
    <w:p w:rsidR="00593523" w:rsidRPr="000105ED" w:rsidRDefault="004A1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31 августа 2022 года состоялось заседание выездной рабочей группы межведомственной комиссии районной админис</w:t>
      </w:r>
      <w:r>
        <w:rPr>
          <w:rFonts w:ascii="Times New Roman" w:hAnsi="Times New Roman"/>
          <w:sz w:val="28"/>
          <w:szCs w:val="28"/>
          <w:lang w:eastAsia="ru-RU"/>
        </w:rPr>
        <w:t>трации. В ходе рейдового мероприятия были посещены 17 налогоплательщиков-задолжников. А</w:t>
      </w:r>
      <w:r w:rsidRPr="000105ED">
        <w:rPr>
          <w:rFonts w:ascii="Times New Roman" w:hAnsi="Times New Roman"/>
          <w:sz w:val="28"/>
          <w:szCs w:val="28"/>
          <w:lang w:eastAsia="ru-RU"/>
        </w:rPr>
        <w:t xml:space="preserve"> так же хозяйствующие субъекты, где рабочим были выданы уведомления о задолжности.</w:t>
      </w:r>
    </w:p>
    <w:p w:rsidR="00593523" w:rsidRDefault="0059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523" w:rsidRDefault="004A1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0105ED">
        <w:rPr>
          <w:rFonts w:ascii="Times New Roman" w:hAnsi="Times New Roman"/>
          <w:sz w:val="28"/>
          <w:szCs w:val="28"/>
          <w:lang w:eastAsia="ru-RU"/>
        </w:rPr>
        <w:t xml:space="preserve"> т</w:t>
      </w:r>
      <w:r>
        <w:rPr>
          <w:rFonts w:ascii="Times New Roman" w:hAnsi="Times New Roman"/>
          <w:sz w:val="28"/>
          <w:szCs w:val="28"/>
          <w:lang w:eastAsia="ru-RU"/>
        </w:rPr>
        <w:t>ерритории поселения с целью снижения недоимки по имущественным налогам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ами  администрации   за  период  с  01.01.2022  года  по 31.12.2022 года были проведены 13  балансовых комиссий,  на которые были приглашены  133 человека,  а также 12  рейдовых мероприятий  по вручению квитанций об оплате задолженности. Квитанции вручены </w:t>
      </w:r>
      <w:r>
        <w:rPr>
          <w:rFonts w:ascii="Times New Roman" w:hAnsi="Times New Roman"/>
          <w:sz w:val="28"/>
          <w:szCs w:val="28"/>
          <w:lang w:eastAsia="ru-RU"/>
        </w:rPr>
        <w:t>150 налогоплательщикам.</w:t>
      </w:r>
    </w:p>
    <w:p w:rsidR="00593523" w:rsidRDefault="004A1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За 12 месяцев 2022 года в бюджет Копанского сельского поселения, консолидированный бюджет Краснодарского края взыскано недоимки 561 тыс. 240 рублей.</w:t>
      </w:r>
    </w:p>
    <w:p w:rsidR="00593523" w:rsidRDefault="004A1A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Сроки оплаты налогов за 2022 год уже прошли, однако многие налогоплательщики  не </w:t>
      </w:r>
      <w:r>
        <w:rPr>
          <w:rFonts w:ascii="Times New Roman" w:hAnsi="Times New Roman"/>
          <w:sz w:val="28"/>
          <w:szCs w:val="28"/>
        </w:rPr>
        <w:t>торопятся оплатить задолженность. Работа по взысканию недоимки не прекращается. В 2023 году планируются рейдовые мероприятия совместно со службой судебных приставов и представителями налогов инспекции.</w:t>
      </w:r>
    </w:p>
    <w:p w:rsidR="00593523" w:rsidRPr="000105ED" w:rsidRDefault="004A1A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 всех средств бюджета  63,1  %  составляют расходы п</w:t>
      </w:r>
      <w:r>
        <w:rPr>
          <w:rFonts w:ascii="Times New Roman" w:hAnsi="Times New Roman"/>
          <w:sz w:val="28"/>
          <w:szCs w:val="28"/>
          <w:lang w:eastAsia="ru-RU"/>
        </w:rPr>
        <w:t>о программам , вы их</w:t>
      </w:r>
      <w:r w:rsidRPr="000105ED">
        <w:rPr>
          <w:rFonts w:ascii="Times New Roman" w:hAnsi="Times New Roman"/>
          <w:sz w:val="28"/>
          <w:szCs w:val="28"/>
          <w:lang w:eastAsia="ru-RU"/>
        </w:rPr>
        <w:t xml:space="preserve"> видите на слаеде</w:t>
      </w:r>
    </w:p>
    <w:tbl>
      <w:tblPr>
        <w:tblW w:w="12435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4923"/>
        <w:gridCol w:w="108"/>
        <w:gridCol w:w="1608"/>
        <w:gridCol w:w="13"/>
        <w:gridCol w:w="4822"/>
      </w:tblGrid>
      <w:tr w:rsidR="00593523">
        <w:trPr>
          <w:gridAfter w:val="1"/>
          <w:wAfter w:w="4822" w:type="dxa"/>
          <w:trHeight w:val="315"/>
          <w:tblHeader/>
        </w:trPr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523" w:rsidRDefault="004A1A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3523" w:rsidRDefault="004A1AD2">
            <w:pPr>
              <w:snapToGrid w:val="0"/>
              <w:ind w:lef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593523" w:rsidRDefault="004A1A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93523">
        <w:trPr>
          <w:trHeight w:val="38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523" w:rsidRDefault="00593523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031" w:type="dxa"/>
            <w:gridSpan w:val="2"/>
          </w:tcPr>
          <w:p w:rsidR="00593523" w:rsidRDefault="00593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593523">
            <w:pPr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835" w:type="dxa"/>
            <w:gridSpan w:val="2"/>
          </w:tcPr>
          <w:p w:rsidR="00593523" w:rsidRDefault="005935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523">
        <w:trPr>
          <w:gridAfter w:val="1"/>
          <w:wAfter w:w="4822" w:type="dxa"/>
          <w:trHeight w:val="117"/>
        </w:trPr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3" w:rsidRDefault="004A1AD2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Муниципальная программа  «Развитие культуры»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 млн  177 тыс  879 руб</w:t>
            </w:r>
          </w:p>
        </w:tc>
      </w:tr>
      <w:tr w:rsidR="00593523">
        <w:trPr>
          <w:gridAfter w:val="1"/>
          <w:wAfter w:w="4822" w:type="dxa"/>
          <w:trHeight w:val="117"/>
        </w:trPr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3" w:rsidRDefault="004A1AD2">
            <w:pPr>
              <w:snapToGrid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 «Совершенствование и содержание дорожной инфраструктуры»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872 тыс . руб </w:t>
            </w:r>
          </w:p>
        </w:tc>
      </w:tr>
      <w:tr w:rsidR="00593523">
        <w:trPr>
          <w:gridAfter w:val="1"/>
          <w:wAfter w:w="4822" w:type="dxa"/>
          <w:trHeight w:val="117"/>
        </w:trPr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3" w:rsidRDefault="004A1AD2">
            <w:pPr>
              <w:snapToGrid w:val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хозяйства»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млн 840 тыс</w:t>
            </w:r>
          </w:p>
          <w:p w:rsidR="00593523" w:rsidRDefault="004A1AD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700  руб </w:t>
            </w:r>
          </w:p>
        </w:tc>
      </w:tr>
      <w:tr w:rsidR="00593523">
        <w:trPr>
          <w:gridAfter w:val="1"/>
          <w:wAfter w:w="4822" w:type="dxa"/>
          <w:trHeight w:val="117"/>
        </w:trPr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3" w:rsidRDefault="004A1AD2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 «Совершенствование и повышение эффективности использования информационно-коммуникационных технологий, обеспечение эффективности и безопа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сности деятельности органов местного самоуправления»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 тыс 219 руб</w:t>
            </w:r>
          </w:p>
        </w:tc>
      </w:tr>
      <w:tr w:rsidR="00593523">
        <w:trPr>
          <w:gridAfter w:val="1"/>
          <w:wAfter w:w="4822" w:type="dxa"/>
          <w:trHeight w:val="117"/>
        </w:trPr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3" w:rsidRDefault="004A1AD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первичных мер пожарной безопасности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территории Копанского сельского поселения Ейского района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3" w:rsidRDefault="004A1AD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 тыс 640 руб</w:t>
            </w:r>
          </w:p>
        </w:tc>
      </w:tr>
    </w:tbl>
    <w:p w:rsidR="00593523" w:rsidRDefault="0059352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593523" w:rsidRDefault="0059352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593523" w:rsidRDefault="004A1AD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Наиболее подробно я остановлюсь на решении основных вопросо</w:t>
      </w:r>
      <w:r>
        <w:rPr>
          <w:rFonts w:ascii="Times New Roman" w:hAnsi="Times New Roman"/>
          <w:bCs/>
          <w:color w:val="000000"/>
          <w:sz w:val="28"/>
          <w:szCs w:val="28"/>
        </w:rPr>
        <w:t>в    согласно полномочиям:</w:t>
      </w:r>
    </w:p>
    <w:p w:rsidR="00593523" w:rsidRDefault="00593523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593523" w:rsidRDefault="004A1A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Одними из самых актуальных вопросов были и остаются вопросы благоустройство территории, работа уличного освещения, санитарное состояние  станицы.</w:t>
      </w:r>
    </w:p>
    <w:p w:rsidR="00593523" w:rsidRDefault="004A1A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муниципальной программы Копанского  сельского поселения  «Развитие жилищно – коммунального хозяйства » на территории поселения проводились 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благоустройству территории поселения,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содержания  кладбища,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восстановлению и модернизации систем уличного освещения.</w:t>
      </w:r>
    </w:p>
    <w:p w:rsidR="00593523" w:rsidRDefault="004A1AD2">
      <w:pPr>
        <w:spacing w:after="0" w:line="240" w:lineRule="auto"/>
        <w:ind w:right="-8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собственных средств бюджета осуществляется техническое обслуживание, ремонт наружного освещения уличной дорожной сети, оплата за потреблённую электроэнергию существующей системы  уличного</w:t>
      </w:r>
      <w:r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ия.  За 2022  год сумма расходов на уличное освещение составила  693 тыс. 600  рублей,  в том числе  584 тыс. 700   руб. за потребленную электроэнергию и   108 тыс. 700  руб. за техническое обслуживание. </w:t>
      </w:r>
    </w:p>
    <w:p w:rsidR="00593523" w:rsidRDefault="004A1AD2">
      <w:pPr>
        <w:pStyle w:val="Standard"/>
        <w:ind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 w:eastAsia="ru-RU"/>
        </w:rPr>
        <w:t>В 2022 году  Губернатором Краснодарского края поста</w:t>
      </w:r>
      <w:r>
        <w:rPr>
          <w:rFonts w:eastAsia="Times New Roman"/>
          <w:sz w:val="28"/>
          <w:szCs w:val="28"/>
          <w:lang w:val="ru-RU" w:eastAsia="ru-RU"/>
        </w:rPr>
        <w:t>влена задача о продолжении  реализации на территории края инициативного бюджетирования - это форма непосредственного участия населения в осуществлении местного самоуправления путем выдвижения инициатив по целям расходования определенной части бюджетных сре</w:t>
      </w:r>
      <w:r>
        <w:rPr>
          <w:rFonts w:eastAsia="Times New Roman"/>
          <w:sz w:val="28"/>
          <w:szCs w:val="28"/>
          <w:lang w:val="ru-RU" w:eastAsia="ru-RU"/>
        </w:rPr>
        <w:t xml:space="preserve">дств всех уровней. Благодаря реализации такого проекта решаются наиболее актуальные проблемы.  </w:t>
      </w:r>
    </w:p>
    <w:p w:rsidR="00593523" w:rsidRDefault="004A1A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озеленения  территории парка,   администрацией поселения  высажены:  175   кустов роз, и 900 однолетних растений петуньи и виолы,  были приобретены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</w:t>
      </w:r>
      <w:r>
        <w:rPr>
          <w:rFonts w:ascii="Times New Roman" w:hAnsi="Times New Roman"/>
          <w:sz w:val="28"/>
          <w:szCs w:val="28"/>
        </w:rPr>
        <w:t>понсорские средства ОАО «Родина» и КФХ Мостовой Александр Анатольевич. Озеленение  будет продолжено  в 2023 году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. </w:t>
      </w:r>
    </w:p>
    <w:p w:rsidR="00593523" w:rsidRDefault="004A1AD2">
      <w:pPr>
        <w:tabs>
          <w:tab w:val="left" w:pos="-900"/>
        </w:tabs>
        <w:suppressAutoHyphens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2022 году  ОАО «Родина» провели штукатурные работы памятника «Воинам –землякам погибшим в годы Великой Отечественной войны 1941-1945 годов»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,  приобрели для муниципального учреждения «Забота» мотоблок с  прицепом и навесным оборудованием. Агрофирма ООО «Волготрансгаз-Ейск» отремонтировали постамент памятника Ленину на приклубной территории и к празднику Дня станицы приобрели в подарок арт объе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кт «Я люблю Копанскую», выражаем искреннюю  признательность и благодарность выражаем руководству ОАО «Родина» и Агрофирме ООО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«Волготрансгаз-Ейск», за оказанную помощь и проделанную большую работу в благоустройстве станицы Копанской.</w:t>
      </w:r>
    </w:p>
    <w:p w:rsidR="00593523" w:rsidRDefault="004A1A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Для обеспечения безопа</w:t>
      </w:r>
      <w:r>
        <w:rPr>
          <w:rFonts w:ascii="Times New Roman" w:hAnsi="Times New Roman"/>
          <w:sz w:val="28"/>
          <w:szCs w:val="28"/>
        </w:rPr>
        <w:t xml:space="preserve">сности  дорожного движения в 2022 году, согласно проекту  организации дорожного движения, выполнена дорожная разметка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сумма затрат </w:t>
      </w:r>
      <w:r w:rsidRPr="000105ED">
        <w:rPr>
          <w:rFonts w:ascii="Times New Roman" w:eastAsia="Times New Roman" w:hAnsi="Times New Roman"/>
          <w:sz w:val="28"/>
          <w:szCs w:val="28"/>
          <w:lang w:eastAsia="ru-RU"/>
        </w:rPr>
        <w:t>490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  рублей. </w:t>
      </w:r>
    </w:p>
    <w:p w:rsidR="00593523" w:rsidRDefault="004A1AD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Ежегодно, весной, на территории поселения  проходит месячник по благоустройству  и наведению санитарног</w:t>
      </w:r>
      <w:r>
        <w:rPr>
          <w:sz w:val="28"/>
          <w:szCs w:val="28"/>
        </w:rPr>
        <w:t xml:space="preserve">о порядка.  Жители станицы  благоустраивали придомовые территории,  разбивали цветники,  высаживали деревья, кустарники.  </w:t>
      </w:r>
      <w:r>
        <w:rPr>
          <w:sz w:val="28"/>
        </w:rPr>
        <w:t xml:space="preserve">Такие территории невозможно не заметить.   </w:t>
      </w:r>
      <w:r>
        <w:rPr>
          <w:sz w:val="28"/>
          <w:szCs w:val="28"/>
        </w:rPr>
        <w:t>Нужно чтобы все жители активнее   взяли   на себя роль в озеленении нашей станицы, в разбивке новых цветников, чтобы каждый житель возле своих дворов, сделал так, как делают лучшие наши дворы, приятно смотреть на красивые клумбы и цветники, на высаженные з</w:t>
      </w:r>
      <w:r>
        <w:rPr>
          <w:sz w:val="28"/>
          <w:szCs w:val="28"/>
        </w:rPr>
        <w:t xml:space="preserve">еленые насаждения в личных подворьях.  Вошло в практику выносить цветники за пределы домовладений, это очень красиво и пример другим жителям. </w:t>
      </w:r>
    </w:p>
    <w:p w:rsidR="00593523" w:rsidRDefault="004A1AD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целях благоустройства  общественных территорий поселения, велись работы по благоустройству  приклубной территор</w:t>
      </w:r>
      <w:r>
        <w:rPr>
          <w:rFonts w:ascii="Times New Roman" w:hAnsi="Times New Roman"/>
          <w:sz w:val="28"/>
        </w:rPr>
        <w:t xml:space="preserve">ии,  клумб в центре станицы,   уборка прилегающей территории к кладбищу, покос сорной растительности. </w:t>
      </w:r>
    </w:p>
    <w:p w:rsidR="00593523" w:rsidRDefault="004A1A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Силами МУ «Забота»  постоянно ликвидируются несанкционированные  свалки  в районе кирпичного завода,  за речкой.  Так, в течение года,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ликвидировано  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лее 20  стихийных свалок.</w:t>
      </w:r>
    </w:p>
    <w:p w:rsidR="00593523" w:rsidRDefault="004A1A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Несмотря на то, что на территории поселения действуют Правила благоустройства, которые определяют обязанности и ответственность юридических и физических лиц по вопросам поддержания чистоты и порядка на территории посе</w:t>
      </w:r>
      <w:r>
        <w:rPr>
          <w:sz w:val="28"/>
          <w:szCs w:val="28"/>
        </w:rPr>
        <w:t xml:space="preserve">ления, а также принимаемые меры со стороны администрации, еще существует масса проблем в этой работе, на улицах складируется строительные материалы, а иногда и  мусор. </w:t>
      </w:r>
      <w:r>
        <w:t xml:space="preserve"> </w:t>
      </w:r>
      <w:r>
        <w:rPr>
          <w:sz w:val="28"/>
          <w:szCs w:val="28"/>
        </w:rPr>
        <w:t>С нарушителями были проведены беседы о недопустимости нарушений Правил благоустройства,</w:t>
      </w:r>
      <w:r>
        <w:rPr>
          <w:sz w:val="28"/>
          <w:szCs w:val="28"/>
        </w:rPr>
        <w:t xml:space="preserve">  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 гражданам   выписаны штрафы, на сумму 46  тыс рублей. </w:t>
      </w:r>
    </w:p>
    <w:p w:rsidR="00593523" w:rsidRDefault="004A1AD2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 2020 года   на территории ст. Копанской  услуги по обращению с ТКО  оказывает ООО «Чистая станица»  в соответствии с графиком движения мусороуборочной техники и предварительными заявками абонен</w:t>
      </w:r>
      <w:r>
        <w:rPr>
          <w:rFonts w:ascii="Times New Roman" w:hAnsi="Times New Roman" w:cs="Times New Roman"/>
          <w:sz w:val="28"/>
          <w:szCs w:val="28"/>
          <w:lang w:bidi="ru-RU"/>
        </w:rPr>
        <w:t>тов. На территории поселения дополнительно установлено 15 общественных контейнеров по улице Калинина, Победы, улице Набережной,   куда могут складировать мусор все жители станицы.  ТКО   с таких контейнеров вывозятся еженедельно по пятницам. Администрацией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поселения проведена инвентаризация всех установленных на территории станицы контейнеров.   Всего на территории поселения 37 общественных контейнера,   остальные 300  контейнеров – частные, т.е личные жителей. Частные контейнеры вывозятся по предварительно</w:t>
      </w:r>
      <w:r>
        <w:rPr>
          <w:rFonts w:ascii="Times New Roman" w:hAnsi="Times New Roman" w:cs="Times New Roman"/>
          <w:sz w:val="28"/>
          <w:szCs w:val="28"/>
          <w:lang w:bidi="ru-RU"/>
        </w:rPr>
        <w:t>й   индивидуальной   заявке собственников  региональному оператору ООО «Чистая станица».</w:t>
      </w:r>
    </w:p>
    <w:p w:rsidR="00593523" w:rsidRDefault="004A1AD2">
      <w:pPr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spacing w:val="-11"/>
          <w:kern w:val="2"/>
          <w:sz w:val="28"/>
          <w:szCs w:val="28"/>
          <w:lang w:eastAsia="ar-SA"/>
        </w:rPr>
        <w:lastRenderedPageBreak/>
        <w:t xml:space="preserve">Все вопросы благоустройства в поселении решаются с помощью муниципального учреждения «Забота»,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содержание  которого  направлены средства из бюджета поселения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  млн  2  тыс. руб.</w:t>
      </w:r>
    </w:p>
    <w:p w:rsidR="00593523" w:rsidRDefault="004A1AD2">
      <w:pPr>
        <w:spacing w:after="0"/>
        <w:ind w:firstLine="70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spacing w:val="-11"/>
          <w:kern w:val="2"/>
          <w:sz w:val="28"/>
          <w:szCs w:val="28"/>
          <w:lang w:eastAsia="ar-SA"/>
        </w:rPr>
        <w:t xml:space="preserve"> Кроме того,  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учреждение   оказывает платные  услуги населению по вспашке огородов, скашиванию сорной растительности, спил деревьев.  За истекший период  МУ «Забота» оказано населению платных услуг на сумму  503 тыс  рублей.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 xml:space="preserve">  Данные средства были направлены на закупку</w:t>
      </w:r>
      <w:r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 xml:space="preserve">   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ГСМ,  комплектующих материалов для бензокос,  коммунальные услуги.</w:t>
      </w:r>
    </w:p>
    <w:p w:rsidR="00593523" w:rsidRDefault="004A1AD2">
      <w:pPr>
        <w:spacing w:after="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color w:val="000000"/>
          <w:spacing w:val="-11"/>
          <w:kern w:val="2"/>
          <w:sz w:val="28"/>
          <w:szCs w:val="28"/>
          <w:lang w:eastAsia="ar-SA"/>
        </w:rPr>
        <w:t xml:space="preserve">        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 2022 году в МУ «Забота» было трудоустроено  34  несовершеннолетних граждан.  Трудоустройство осуществлялось согласно договора о сов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местной деятельности с центром занятости населения в Ейском районе. Всего из бюджета поселения на эти цели (трудоустройство) израсходовано  103  тыс.  900   рублей.</w:t>
      </w:r>
    </w:p>
    <w:p w:rsidR="00593523" w:rsidRDefault="004A1AD2">
      <w:pPr>
        <w:spacing w:after="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    На территории поселения функционирует баня, которая передана в оперативное управление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МУ «Забота».  За истекший период расходы на содержание бани составили    607 тыс  874  рубля, а  доходы от функционирования бани -  375 тыс  750 рублей.   </w:t>
      </w:r>
    </w:p>
    <w:p w:rsidR="00593523" w:rsidRDefault="00593523">
      <w:pPr>
        <w:spacing w:after="0"/>
        <w:jc w:val="center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593523" w:rsidRDefault="004A1AD2">
      <w:pPr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Сельское хозяйство</w:t>
      </w:r>
    </w:p>
    <w:p w:rsidR="00593523" w:rsidRDefault="00593523">
      <w:pPr>
        <w:spacing w:after="0"/>
        <w:jc w:val="both"/>
        <w:rPr>
          <w:rFonts w:ascii="Times New Roman" w:eastAsia="Andale Sans UI" w:hAnsi="Times New Roman"/>
          <w:b/>
          <w:color w:val="000000"/>
          <w:spacing w:val="-11"/>
          <w:kern w:val="2"/>
          <w:sz w:val="28"/>
          <w:szCs w:val="28"/>
          <w:lang w:eastAsia="ar-SA"/>
        </w:rPr>
      </w:pPr>
    </w:p>
    <w:p w:rsidR="00593523" w:rsidRDefault="004A1A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 На  территории  сельского  поселения зарегистрировано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   1 260   личных 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дсобных хозяйств. В личных подсобных хозяйствах содержатся – 208 голов КРС,  в основном это бычки.    Овцы, козы – 805  голов,  17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голов кроликов,  свыше 55 тыс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голов птицы, 24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пчелосемей.  Граждане занимаются  в личных  подсобных  хозяйствах производством сельскохозяйственной  продукции для  собственных  нужд,   а отдельные для  реализации, получая при этом дополнительный  доход в семейный  бюджет.     На ярмарочной площадке 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еются бесплатные места для реализации  продукции , выращенной в ЛПХ.  Кроме того жители могут реализовывать свою продукцию на еженедельных ярмарках выходного дня в городе Ейске. </w:t>
      </w:r>
    </w:p>
    <w:p w:rsidR="00593523" w:rsidRDefault="004A1AD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В сельском поселении занимаются выращиванием овощей защищённого грунта    16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хозяйств.  Общая площадь теплиц составляет   18 947    кв. м.  </w:t>
      </w:r>
    </w:p>
    <w:p w:rsidR="00593523" w:rsidRDefault="004A1A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 </w:t>
      </w:r>
    </w:p>
    <w:p w:rsidR="00593523" w:rsidRDefault="004A1AD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поселения имеется   культурное  пастбище, которое передано в аренду владельцам ЛПХ.   В   2022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заготовлено  69   тонн сена,   из них   25,6 тонн  реализовано бес</w:t>
      </w:r>
      <w:r>
        <w:rPr>
          <w:rFonts w:ascii="Times New Roman" w:hAnsi="Times New Roman"/>
          <w:sz w:val="28"/>
          <w:szCs w:val="28"/>
        </w:rPr>
        <w:t xml:space="preserve">платно   жителям, содержащих в своих хозяйствах  крупный рогатый скот. </w:t>
      </w:r>
    </w:p>
    <w:p w:rsidR="00593523" w:rsidRDefault="00593523">
      <w:pPr>
        <w:spacing w:after="0" w:line="240" w:lineRule="auto"/>
        <w:ind w:firstLine="706"/>
        <w:jc w:val="both"/>
        <w:rPr>
          <w:rFonts w:ascii="Times New Roman" w:hAnsi="Times New Roman"/>
          <w:b/>
          <w:sz w:val="28"/>
          <w:szCs w:val="28"/>
        </w:rPr>
      </w:pPr>
    </w:p>
    <w:p w:rsidR="00593523" w:rsidRDefault="00593523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93523" w:rsidRDefault="004A1AD2">
      <w:pPr>
        <w:spacing w:after="0" w:line="240" w:lineRule="auto"/>
        <w:ind w:firstLine="7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Культура</w:t>
      </w:r>
    </w:p>
    <w:p w:rsidR="00593523" w:rsidRDefault="00593523">
      <w:pPr>
        <w:spacing w:after="0" w:line="240" w:lineRule="auto"/>
        <w:ind w:firstLine="706"/>
        <w:jc w:val="center"/>
        <w:rPr>
          <w:rFonts w:ascii="Times New Roman" w:hAnsi="Times New Roman"/>
          <w:sz w:val="28"/>
          <w:szCs w:val="28"/>
        </w:rPr>
      </w:pPr>
    </w:p>
    <w:p w:rsidR="00593523" w:rsidRDefault="004A1AD2">
      <w:pPr>
        <w:spacing w:after="0" w:line="240" w:lineRule="auto"/>
        <w:ind w:firstLine="706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На территории поселения функционирует сельский дом культуры, расходы на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который в 2022 году составили  6  млн  178 тыс. рублей.</w:t>
      </w:r>
    </w:p>
    <w:p w:rsidR="00593523" w:rsidRDefault="004A1A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 работы Дома культуры  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вляются сохранение и развитие культуры на селе.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В муниципальном учреждении культуры работает 25 кружков и   клубных формирований. </w:t>
      </w:r>
      <w:r>
        <w:rPr>
          <w:rFonts w:ascii="Times New Roman" w:hAnsi="Times New Roman"/>
          <w:sz w:val="28"/>
          <w:szCs w:val="28"/>
        </w:rPr>
        <w:t xml:space="preserve">Всего за 2022  год проведено 425 мероприятий. Традиционными стали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мероприятия, посвящённые Дню Победы, Дню защиты детей, Дню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России,  Дню семьи, Дню народного единства, Новогодние мероприятия.</w:t>
      </w:r>
    </w:p>
    <w:p w:rsidR="00593523" w:rsidRDefault="004A1AD2">
      <w:pPr>
        <w:spacing w:after="0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В  2022   году  в рамках ежегодного конкурса оборонно-массовой и военно-патриотической работы памяти маршала Г.К. Жукова,   проведено  более  53  значимых  мероприятий,  посвящённых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военно-патриотическому воспитанию молодёжи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Мероприятия проводились в различных форматах. По  итогам конкурса   Копанское сельское поселение заняло 2  место. </w:t>
      </w:r>
    </w:p>
    <w:p w:rsidR="00593523" w:rsidRDefault="004A1A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2022 году для Сельского Дома культуры ИП  Рудых Сергеем Николаевичем была выделена спонсорская</w:t>
      </w:r>
      <w:r>
        <w:rPr>
          <w:rFonts w:ascii="Times New Roman" w:hAnsi="Times New Roman"/>
          <w:color w:val="000000"/>
          <w:sz w:val="28"/>
          <w:szCs w:val="28"/>
        </w:rPr>
        <w:t xml:space="preserve"> помощь для приобретения   ударной электронной  установки. Большую спонсорскую помощь для СДК Копанского сельского поселения оказали ОАО «Родина»,  к новогодним праздникам приобрели ёлку,  на развитие культуры приобрели комутации, микрофоны, за счет средст</w:t>
      </w:r>
      <w:r>
        <w:rPr>
          <w:rFonts w:ascii="Times New Roman" w:hAnsi="Times New Roman"/>
          <w:color w:val="000000"/>
          <w:sz w:val="28"/>
          <w:szCs w:val="28"/>
        </w:rPr>
        <w:t xml:space="preserve">в выделенных ОАО «Родина» был сделан косметический ремонт в фое 2 этажа, так же ОАО «Родина» являлись спонсорами проведения праздничных мероприятий Дня станицы и Дня пожилого человека. 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Агрофирма «Волготрансгаз-Ейск»  приобрели для СДК </w:t>
      </w:r>
      <w:r>
        <w:rPr>
          <w:rFonts w:ascii="Times New Roman" w:hAnsi="Times New Roman"/>
          <w:color w:val="000000"/>
          <w:sz w:val="28"/>
          <w:szCs w:val="28"/>
        </w:rPr>
        <w:t xml:space="preserve">уличный банер «Дом в котором живёт праздник», были спонсорами проведения праздничных мероприятий 1 и 9 мая, и дня молодёжи. </w:t>
      </w:r>
    </w:p>
    <w:p w:rsidR="00593523" w:rsidRDefault="004A1AD2">
      <w:pPr>
        <w:spacing w:after="0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По отрасли «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Спорт и физическая культура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» были предусмотрены и освоены  средства в сумме 55 тыс. 400  рублей.   В поселении проводят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ся ежегодно традиционные спортивные мероприятия и  соревнования.   В 2022 году проводились  массовые  спортивные мероприятия различной направленности.  Сборная команда Копанского сельского поселения принимала участие в рамках </w:t>
      </w:r>
      <w:r>
        <w:rPr>
          <w:rFonts w:ascii="Times New Roman" w:eastAsia="Andale Sans UI" w:hAnsi="Times New Roman"/>
          <w:kern w:val="2"/>
          <w:sz w:val="28"/>
          <w:szCs w:val="28"/>
          <w:lang w:val="en-US" w:eastAsia="ar-SA"/>
        </w:rPr>
        <w:t>VI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спартакиады трудящихся по л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ёгкой атлетике, по арм рестлингу, по городошному спорту, в соревнованиях по шахматам команда Копанского сельского поселения заняла </w:t>
      </w:r>
      <w:r>
        <w:rPr>
          <w:rFonts w:ascii="Times New Roman" w:eastAsia="Andale Sans UI" w:hAnsi="Times New Roman"/>
          <w:kern w:val="2"/>
          <w:sz w:val="28"/>
          <w:szCs w:val="28"/>
          <w:lang w:val="en-US" w:eastAsia="ar-SA"/>
        </w:rPr>
        <w:t>I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место, стали бронзовыми призёрами по волейболу, по плаванию заняли </w:t>
      </w:r>
      <w:r>
        <w:rPr>
          <w:rFonts w:ascii="Times New Roman" w:eastAsia="Andale Sans UI" w:hAnsi="Times New Roman"/>
          <w:kern w:val="2"/>
          <w:sz w:val="28"/>
          <w:szCs w:val="28"/>
          <w:lang w:val="en-US" w:eastAsia="ar-SA"/>
        </w:rPr>
        <w:t>I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место.    В 2022 году команда Копанского сельского пос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еления в очередной раз стала победителем  муниципального этапа  Спартакиады сельских поселений. Лучший игрок турнира среди спортивных сельских школ и  Лучший игрок по мини  футболу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lastRenderedPageBreak/>
        <w:t>стал  Скрипников Данил, чемпион среди мужчин по лёгкой атлетике Скляренко Н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икита, чемпион района по лёгкой атлетике среди женщин Прасолова Ксения.</w:t>
      </w:r>
    </w:p>
    <w:p w:rsidR="00593523" w:rsidRDefault="004A1AD2">
      <w:pPr>
        <w:spacing w:after="0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В 2022 году ОАО «Родина» для сборной футбольной команды «Родина» приобрели бутсы 6 пар, а Агрофирма «Волготрансгаз-Ейск» приобрели газонокосилку для кошения травы на футбольном поле.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Выражаем</w:t>
      </w:r>
      <w:r>
        <w:rPr>
          <w:rFonts w:ascii="Times New Roman" w:hAnsi="Times New Roman"/>
          <w:sz w:val="28"/>
          <w:szCs w:val="28"/>
        </w:rPr>
        <w:t xml:space="preserve"> Вам искреннюю признательность и благодарность за оказанную вами помощь в жизни станицы.</w:t>
      </w:r>
    </w:p>
    <w:p w:rsidR="00593523" w:rsidRDefault="004A1AD2">
      <w:pPr>
        <w:spacing w:after="0"/>
        <w:ind w:firstLine="851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На расходы по отрасли «Молодежная политика и оздоровление детей» в 2022  году были предусмотрены средства в размере  43 000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рублей. Запланированные  денежные 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средства освоены в полном объеме. </w:t>
      </w:r>
    </w:p>
    <w:p w:rsidR="00593523" w:rsidRDefault="004A1AD2">
      <w:pPr>
        <w:spacing w:after="0"/>
        <w:ind w:firstLine="851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Под руководством специалиста по работе с молодёжью Витюк Владислава работает волонтёрское движение.  Волонтёры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ухаживают за могилами  ветеранов  на станичном кладбище. </w:t>
      </w:r>
    </w:p>
    <w:p w:rsidR="00593523" w:rsidRDefault="004A1AD2">
      <w:pPr>
        <w:spacing w:after="0"/>
        <w:ind w:firstLine="851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 2022 году  волонтёрским движением проводилась ра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бота по уборке могил ветеранов ВОВ,  родственники которых давно умерли или уже много лет не живут в станице.   </w:t>
      </w:r>
    </w:p>
    <w:p w:rsidR="00593523" w:rsidRDefault="004A1AD2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Волонтеры молодежного клуба  приняли  активное участие в организации работы на избирательном  участке.</w:t>
      </w:r>
    </w:p>
    <w:p w:rsidR="00593523" w:rsidRDefault="004A1A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С 29 января 2022 года на территории по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селения работает Досуговый клуб «Юность»,  проект разработанный Владиславом Витюк  выиграл грант на сумму 130 000 рублей.  Основная цель проекта: создание на территории Копанского сельского поселения Ейского района досугового клуба «Юность» для молодых люд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ей в возрасте от 14 до 35 лет.  </w:t>
      </w:r>
      <w:r>
        <w:rPr>
          <w:rStyle w:val="project-view-itementrypia02"/>
          <w:rFonts w:ascii="Times New Roman" w:hAnsi="Times New Roman"/>
          <w:sz w:val="28"/>
          <w:szCs w:val="28"/>
        </w:rPr>
        <w:t xml:space="preserve"> В период реализации проекта проводились различные формы мероприятий, таких как: лекции, круглые столы, интеллектуальные игры, викторины.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 данный момент подготовлена материально-техническая база для реализации проекта на о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бщую сумму 130 тыс  руб.  Были приобретены: фотоаппарат, проектор, экран для проектора,  15  кресло-мешков,  флипчарт, настольные игры.  </w:t>
      </w:r>
    </w:p>
    <w:p w:rsidR="00593523" w:rsidRDefault="004A1AD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Roboto Condensed" w:eastAsia="Times New Roman" w:hAnsi="Roboto Condensed"/>
          <w:sz w:val="28"/>
          <w:szCs w:val="28"/>
          <w:lang w:val="zh-CN" w:eastAsia="zh-CN"/>
        </w:rPr>
        <w:t>В настоящее время в</w:t>
      </w:r>
      <w:r>
        <w:rPr>
          <w:rFonts w:ascii="Roboto Condensed" w:eastAsia="Times New Roman" w:hAnsi="Roboto Condensed"/>
          <w:sz w:val="28"/>
          <w:szCs w:val="28"/>
          <w:lang w:eastAsia="zh-CN"/>
        </w:rPr>
        <w:t xml:space="preserve"> Копанском  сельском поселении  работает  </w:t>
      </w:r>
      <w:r>
        <w:rPr>
          <w:rFonts w:ascii="Roboto Condensed" w:eastAsia="Times New Roman" w:hAnsi="Roboto Condensed"/>
          <w:sz w:val="28"/>
          <w:szCs w:val="28"/>
          <w:lang w:val="zh-CN" w:eastAsia="zh-CN"/>
        </w:rPr>
        <w:t>хуторско</w:t>
      </w:r>
      <w:r>
        <w:rPr>
          <w:rFonts w:ascii="Roboto Condensed" w:eastAsia="Times New Roman" w:hAnsi="Roboto Condensed"/>
          <w:sz w:val="28"/>
          <w:szCs w:val="28"/>
          <w:lang w:eastAsia="zh-CN"/>
        </w:rPr>
        <w:t>е</w:t>
      </w:r>
      <w:r>
        <w:rPr>
          <w:rFonts w:ascii="Roboto Condensed" w:eastAsia="Times New Roman" w:hAnsi="Roboto Condensed"/>
          <w:sz w:val="28"/>
          <w:szCs w:val="28"/>
          <w:lang w:val="zh-CN" w:eastAsia="zh-CN"/>
        </w:rPr>
        <w:t xml:space="preserve"> казачье обществ</w:t>
      </w:r>
      <w:r>
        <w:rPr>
          <w:rFonts w:ascii="Roboto Condensed" w:eastAsia="Times New Roman" w:hAnsi="Roboto Condensed"/>
          <w:sz w:val="28"/>
          <w:szCs w:val="28"/>
          <w:lang w:eastAsia="zh-CN"/>
        </w:rPr>
        <w:t xml:space="preserve">о .  </w:t>
      </w:r>
      <w:r>
        <w:rPr>
          <w:rFonts w:ascii="Times New Roman" w:eastAsia="Times New Roman" w:hAnsi="Times New Roman"/>
          <w:sz w:val="28"/>
          <w:szCs w:val="28"/>
          <w:lang w:val="zh-CN" w:eastAsia="zh-CN"/>
        </w:rPr>
        <w:t>Казаки активно участвуют во</w:t>
      </w:r>
      <w:r>
        <w:rPr>
          <w:rFonts w:ascii="Times New Roman" w:eastAsia="Times New Roman" w:hAnsi="Times New Roman"/>
          <w:sz w:val="28"/>
          <w:szCs w:val="28"/>
          <w:lang w:val="zh-CN" w:eastAsia="zh-CN"/>
        </w:rPr>
        <w:t xml:space="preserve"> всех проводимых местных, районных и краевых мероприятиях, принимают  участие в охране общественного порядка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593523" w:rsidRDefault="004A1AD2">
      <w:pPr>
        <w:shd w:val="clear" w:color="auto" w:fill="FFFFFF"/>
        <w:spacing w:after="0" w:line="240" w:lineRule="auto"/>
        <w:ind w:right="-1" w:firstLine="851"/>
        <w:jc w:val="both"/>
        <w:rPr>
          <w:rFonts w:ascii="Roboto Condensed" w:eastAsia="Times New Roman" w:hAnsi="Roboto Condensed"/>
          <w:sz w:val="28"/>
          <w:szCs w:val="28"/>
          <w:lang w:eastAsia="zh-CN"/>
        </w:rPr>
      </w:pPr>
      <w:r>
        <w:rPr>
          <w:rFonts w:ascii="Roboto Condensed" w:eastAsia="Times New Roman" w:hAnsi="Roboto Condensed"/>
          <w:sz w:val="28"/>
          <w:szCs w:val="28"/>
          <w:lang w:val="zh-CN" w:eastAsia="zh-CN"/>
        </w:rPr>
        <w:t xml:space="preserve">Казаками </w:t>
      </w:r>
      <w:r>
        <w:rPr>
          <w:rFonts w:ascii="Roboto Condensed" w:eastAsia="Times New Roman" w:hAnsi="Roboto Condensed"/>
          <w:sz w:val="28"/>
          <w:szCs w:val="28"/>
          <w:lang w:eastAsia="zh-CN"/>
        </w:rPr>
        <w:t xml:space="preserve">Копанского  </w:t>
      </w:r>
      <w:r>
        <w:rPr>
          <w:rFonts w:ascii="Roboto Condensed" w:eastAsia="Times New Roman" w:hAnsi="Roboto Condensed"/>
          <w:sz w:val="28"/>
          <w:szCs w:val="28"/>
          <w:lang w:val="zh-CN" w:eastAsia="zh-CN"/>
        </w:rPr>
        <w:t>хуторского казачьего общества  проводится активная работа по патриотическому и духовно-нравственному воспитанию молодежи.</w:t>
      </w:r>
    </w:p>
    <w:p w:rsidR="00593523" w:rsidRDefault="004A1AD2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val="zh-CN" w:eastAsia="zh-CN"/>
        </w:rPr>
        <w:t>Пре</w:t>
      </w:r>
      <w:r>
        <w:rPr>
          <w:rFonts w:ascii="Times New Roman" w:eastAsia="Times New Roman" w:hAnsi="Times New Roman"/>
          <w:sz w:val="28"/>
          <w:szCs w:val="28"/>
          <w:lang w:val="zh-CN" w:eastAsia="zh-CN"/>
        </w:rPr>
        <w:t>дставители казачества постоянные участники антинаркотических мероприятий, территориальной комиссии по профилактике правонарушений, административных комиссий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593523" w:rsidRDefault="004A1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  год проведено  62  антинаркотических мероприятия.</w:t>
      </w:r>
    </w:p>
    <w:p w:rsidR="00593523" w:rsidRDefault="004A1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антинаркотической направленности</w:t>
      </w:r>
      <w:r>
        <w:rPr>
          <w:rFonts w:ascii="Times New Roman" w:hAnsi="Times New Roman"/>
          <w:sz w:val="28"/>
          <w:szCs w:val="28"/>
        </w:rPr>
        <w:t xml:space="preserve"> ведется комплексно, по нескольким направлениям. Для пресечения выращивания, заготовки и распространения, наркотических веществ, в поселении была образована рабочая группа. Целью работы которой было обследование территории поселения на предмет выявления оч</w:t>
      </w:r>
      <w:r>
        <w:rPr>
          <w:rFonts w:ascii="Times New Roman" w:hAnsi="Times New Roman"/>
          <w:sz w:val="28"/>
          <w:szCs w:val="28"/>
        </w:rPr>
        <w:t>агов культивированной и дикорастущей конопли. С  июня   по октябрь 2022 года  включительно, проводились обследования   территорий общего пользования и лесополос в границах поселения.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рейдовых мероприятий  выявлен  1 очаг произрастания дикорастущей к</w:t>
      </w:r>
      <w:r>
        <w:rPr>
          <w:rFonts w:ascii="Times New Roman" w:hAnsi="Times New Roman"/>
          <w:sz w:val="28"/>
          <w:szCs w:val="28"/>
        </w:rPr>
        <w:t>онопли, в которых уничтожено 1500 кустов.</w:t>
      </w:r>
    </w:p>
    <w:p w:rsidR="00593523" w:rsidRDefault="004A1AD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 Федерального закона № 44-ФЗ (от 02.04.2014 года) «Об участии граждан в охране общественного порядка» на территории станицы Копанской  создана добровольная народная дружина, численностью 7  человек.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Рейдовая группа,  согласно утвержденно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го графика,  выходит на дежурство. В ее состав входят сотрудники полиции, казаки и народные дружинники.  За 2022 год, было проведено  20 рейдовых мероприятий. </w:t>
      </w:r>
    </w:p>
    <w:p w:rsidR="00593523" w:rsidRDefault="004A1AD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в период новогодних праздников  на территории поселения  работает  межведомственная рабочая группа, которая  с целью контроля,  посещает   семьи с несовершеннолетними детьми, состоящими на профилактических учетах в органах системы профилактики. </w:t>
      </w:r>
    </w:p>
    <w:p w:rsidR="00593523" w:rsidRDefault="004A1AD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территории Копанского сельского поселения работает административная комиссия. За 2022 год проведено 4 заседания административной комиссии,  рассмотрен  21 административный протокол.    За нарушение Правил благоустройства территории поселения  наложено 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000 рублей штрафов,    11 000  рублей оплачены нарушителями добровольно,  35 000 рублей  взыскиваются  службой судебных приставов.</w:t>
      </w:r>
    </w:p>
    <w:p w:rsidR="00593523" w:rsidRDefault="004A1AD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Работа  администрации  поселения по предупреждению и ликвидации  чрезвычайных  ситуаций, пожарной безопасности в границах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населённого  пункта  проводилась  в  тесном контакте с отделом ГО и ЧС администрации муниципального образования Ейский  район.   Из бюджета поселения в 2022  году на предупреждение  ЧС и пожарной  безопасности    израсходовано    10 640   рублей.  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были израсходованы на техническое обслуживание пожарной сигнализации.</w:t>
      </w:r>
    </w:p>
    <w:p w:rsidR="00593523" w:rsidRDefault="004A1AD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Вопросы  пожарной безопасности  находятся на особом контроле администрации.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2022 году на территории поселения  не вводился особый противопожарный режим, но тем не менее  проводились </w:t>
      </w:r>
      <w:r>
        <w:rPr>
          <w:rFonts w:ascii="Times New Roman" w:eastAsia="Times New Roman" w:hAnsi="Times New Roman"/>
          <w:sz w:val="28"/>
          <w:szCs w:val="28"/>
        </w:rPr>
        <w:t>проверки готовности системы оповещения, осуществлялся постоянный контроль за техническим состоянием объектов наружного противопожарного водоснабжения и подъездных путей к ним.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летний  период проводилась разъяснительная  работа по запрещению сжигания мусо</w:t>
      </w:r>
      <w:r>
        <w:rPr>
          <w:rFonts w:ascii="Times New Roman" w:eastAsia="Times New Roman" w:hAnsi="Times New Roman"/>
          <w:sz w:val="28"/>
          <w:szCs w:val="28"/>
        </w:rPr>
        <w:t xml:space="preserve">ра, веток, травы. 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Гражданам  было направлено  60 уведомление по очистке территории, составлено  10 протоколов об административной ответственности по пожарной безопасности.</w:t>
      </w:r>
    </w:p>
    <w:p w:rsidR="00593523" w:rsidRDefault="004A1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2022  году населению было вручено  4300   памяток по пожарной безопасности. 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пожарной безопасности производится  опашка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населенного  пункта.  Регулярно   выполняется  покос камыша вдоль прибрежной зоны.  Однако,  несмотря на принимаемые меры  в  2022 году  произошло  7 возгораний  на территории поселения,  в основном это  сух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остой на «условно заброшенных земельных  участках», камыш, а также 2 дома, 1 гараж с автомобилем, 1 сарай.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3523" w:rsidRDefault="004A1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Сегодня работа администрации не возможна без первых помощников, которыми являются представители территориального общественного самоуправления. Они о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казывают содействие в охране общественного порядка, информировании населения, а так же предупреждении о чрезвычайных ситуациях. </w:t>
      </w:r>
      <w:r>
        <w:rPr>
          <w:rFonts w:ascii="Times New Roman" w:hAnsi="Times New Roman"/>
          <w:sz w:val="28"/>
          <w:szCs w:val="28"/>
        </w:rPr>
        <w:t xml:space="preserve">На сегодняшний день  актуальна  тема – мошенничество, и как показывает практика, в зоне риска находятся абсолютно все, особенно </w:t>
      </w:r>
      <w:r>
        <w:rPr>
          <w:rFonts w:ascii="Times New Roman" w:hAnsi="Times New Roman"/>
          <w:sz w:val="28"/>
          <w:szCs w:val="28"/>
        </w:rPr>
        <w:t>граждане пожилого возраста. В целях снижения  риска  председателями ТОС  жителям станицы вручаются памятки «Осторожно мошенники» и проводится профилактическая беседа.  В социальных сетях, на официальном сайте администрации размещается информация, предупреж</w:t>
      </w:r>
      <w:r>
        <w:rPr>
          <w:rFonts w:ascii="Times New Roman" w:hAnsi="Times New Roman"/>
          <w:sz w:val="28"/>
          <w:szCs w:val="28"/>
        </w:rPr>
        <w:t xml:space="preserve">дающая о возможных случаях мошенничества.  Уже вручено более 700 памяток,  в основном пенсионерам, инвалидам, многодетным семьям. </w:t>
      </w:r>
    </w:p>
    <w:p w:rsidR="00593523" w:rsidRDefault="004A1AD2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kern w:val="2"/>
          <w:sz w:val="28"/>
          <w:szCs w:val="28"/>
          <w:lang w:val="ru-RU" w:eastAsia="ar-SA"/>
        </w:rPr>
        <w:t>ТОСы Копанского сельского поселения представлены 6-ю председателями.</w:t>
      </w:r>
      <w:r>
        <w:rPr>
          <w:sz w:val="28"/>
          <w:szCs w:val="28"/>
          <w:lang w:val="ru-RU"/>
        </w:rPr>
        <w:t xml:space="preserve"> </w:t>
      </w:r>
    </w:p>
    <w:p w:rsidR="00593523" w:rsidRDefault="004A1AD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компенсационные выплаты руководителям территориально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общественного самоуправления   израсходовано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162 тыс 9</w:t>
      </w:r>
      <w:r w:rsidRPr="000105ED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 </w:t>
      </w:r>
    </w:p>
    <w:p w:rsidR="00593523" w:rsidRDefault="004A1AD2">
      <w:pPr>
        <w:spacing w:after="0"/>
        <w:ind w:firstLine="567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На территории  поселения  активно работает  Совет ветеранов, председатель Дробот З. А.</w:t>
      </w:r>
      <w:r>
        <w:rPr>
          <w:rFonts w:ascii="Times New Roman" w:hAnsi="Times New Roman"/>
          <w:color w:val="000000"/>
          <w:sz w:val="28"/>
          <w:szCs w:val="28"/>
        </w:rPr>
        <w:t xml:space="preserve"> На сегодняшний день в станице  проживают  7  тружеников тыла. 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Советом ветеранов,  совместно с Досуговым клубом «Юность»,  администрацией  в течение года  оказывалась помощь труженикам тыла, вдовам,  престарелым гражданам. От главы поселения и сотрудников СДК они получали поздравления на дому с Днем защитника Отечеств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а и 8 марта. </w:t>
      </w:r>
    </w:p>
    <w:p w:rsidR="00593523" w:rsidRDefault="004A1AD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593523" w:rsidRDefault="004A1A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Деятельность администрации Копанского сельского поселения неразрывно связана с 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представительным органом, которым является Совет, осуществлявший свои полномочия в составе 14 депутатов, по результатам выборов  в сентябре 2022 года ж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итель станицы Витюк Владислав Викторович, ранее входящий в состав Совета Копанского сельского поселения был избран в состав Совета муниципального образования Ейский район.</w:t>
      </w:r>
    </w:p>
    <w:p w:rsidR="00593523" w:rsidRDefault="004A1A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Деятельность Совета за отчетный год осуществлялась в рамках федерального и краевого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законодательства в соответствии с Уставом Копанского сельского поселения.</w:t>
      </w:r>
    </w:p>
    <w:p w:rsidR="00593523" w:rsidRDefault="004A1A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Совете сформированы три депутатских комиссии.</w:t>
      </w:r>
    </w:p>
    <w:p w:rsidR="00593523" w:rsidRDefault="004A1A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За отчетный период проведено 13  сессий Совета, рассмотрены и приняты решения по 27   вопросам.</w:t>
      </w:r>
    </w:p>
    <w:p w:rsidR="00593523" w:rsidRDefault="004A1A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lastRenderedPageBreak/>
        <w:t>При обсуждении и принятии решений депу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таты в первую очередь учитывали интересы жителей поселения.</w:t>
      </w:r>
    </w:p>
    <w:p w:rsidR="00593523" w:rsidRDefault="004A1A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отчётный период рассмотрено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вопросов бюджетного регулирования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Необходимо отметить, что при рассмотрении бюджета, его корректировки в обязательном порядке депутатами рассматривалась возможность участия Копанского  сельского поселения в различных целевых программах на условиях  софинансирования краевого бюджета, а 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кже учитывались обращения граждан по вопросам  совершенствования улично-дорожной сети, благоустройства территории поселения. </w:t>
      </w:r>
    </w:p>
    <w:p w:rsidR="00593523" w:rsidRDefault="005935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3523" w:rsidRDefault="005935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3523" w:rsidRDefault="004A1A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Уважаемые депутаты, присутствующие!</w:t>
      </w:r>
    </w:p>
    <w:p w:rsidR="00593523" w:rsidRDefault="004A1A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Все, что было сделано на территории поселения – это итог совместных усилий.  Проблем конечн</w:t>
      </w:r>
      <w:r>
        <w:rPr>
          <w:rFonts w:ascii="Times New Roman" w:hAnsi="Times New Roman"/>
          <w:bCs/>
          <w:sz w:val="28"/>
          <w:szCs w:val="28"/>
          <w:lang w:eastAsia="ru-RU"/>
        </w:rPr>
        <w:t>о много,  но администрация готова их решать совместно с Советом депутатов, жителями  поселения.</w:t>
      </w:r>
    </w:p>
    <w:p w:rsidR="00593523" w:rsidRDefault="005935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3523" w:rsidRDefault="004A1A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2023 году:</w:t>
      </w:r>
    </w:p>
    <w:p w:rsidR="00593523" w:rsidRDefault="004A1AD2">
      <w:pPr>
        <w:pStyle w:val="ab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Будет  продолжаться озеленение в парке. </w:t>
      </w:r>
    </w:p>
    <w:p w:rsidR="00593523" w:rsidRDefault="004A1AD2">
      <w:pPr>
        <w:pStyle w:val="ab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2023 году на участие  в краевой программе «Инициативное бюджетирование»  сельское поселение подали зая</w:t>
      </w:r>
      <w:r>
        <w:rPr>
          <w:rFonts w:ascii="Times New Roman" w:hAnsi="Times New Roman"/>
          <w:bCs/>
          <w:sz w:val="28"/>
          <w:szCs w:val="28"/>
          <w:lang w:eastAsia="ru-RU"/>
        </w:rPr>
        <w:t>вку два проекта:</w:t>
      </w:r>
    </w:p>
    <w:p w:rsidR="00593523" w:rsidRDefault="004A1AD2">
      <w:pPr>
        <w:pStyle w:val="ab"/>
        <w:widowControl w:val="0"/>
        <w:suppressAutoHyphens/>
        <w:snapToGrid w:val="0"/>
        <w:spacing w:after="0" w:line="240" w:lineRule="auto"/>
        <w:ind w:left="97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-«Благоустройство детской игровой площадки по ул. Мешкова в ст. Копанской»,</w:t>
      </w:r>
    </w:p>
    <w:p w:rsidR="00593523" w:rsidRDefault="004A1AD2">
      <w:pPr>
        <w:pStyle w:val="ab"/>
        <w:widowControl w:val="0"/>
        <w:suppressAutoHyphens/>
        <w:snapToGrid w:val="0"/>
        <w:spacing w:after="0" w:line="240" w:lineRule="auto"/>
        <w:ind w:left="97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-«Благоустройство территории парка в станице Копанской». </w:t>
      </w:r>
    </w:p>
    <w:p w:rsidR="00593523" w:rsidRDefault="004A1AD2">
      <w:pPr>
        <w:pStyle w:val="ab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Продолжим борьбу с несанкционированными свалками. </w:t>
      </w:r>
    </w:p>
    <w:p w:rsidR="00593523" w:rsidRDefault="004A1AD2">
      <w:pPr>
        <w:pStyle w:val="ab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2023 году  как и в предыдущие годы  сельское поселен</w:t>
      </w:r>
      <w:r>
        <w:rPr>
          <w:rFonts w:ascii="Times New Roman" w:hAnsi="Times New Roman"/>
          <w:bCs/>
          <w:sz w:val="28"/>
          <w:szCs w:val="28"/>
          <w:lang w:eastAsia="ru-RU"/>
        </w:rPr>
        <w:t>ие будет принимать участие в  краевых программах: «Комплексное развитие сельских территорий», «Региональная политика и развитие гражданского общества»,  в конкурсе «Лучший ТОС».</w:t>
      </w:r>
    </w:p>
    <w:p w:rsidR="00593523" w:rsidRDefault="004A1AD2">
      <w:pPr>
        <w:pStyle w:val="ab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Участок грунтовой дороги по улице Тельмана (от улицы Советская до улицы </w:t>
      </w:r>
      <w:r>
        <w:rPr>
          <w:rFonts w:ascii="Times New Roman" w:hAnsi="Times New Roman"/>
          <w:bCs/>
          <w:sz w:val="28"/>
          <w:szCs w:val="28"/>
          <w:lang w:eastAsia="ru-RU"/>
        </w:rPr>
        <w:t>Калинина) будет переведён в гравийное исполнение.</w:t>
      </w:r>
    </w:p>
    <w:p w:rsidR="00593523" w:rsidRDefault="00593523">
      <w:pPr>
        <w:ind w:right="-1" w:firstLine="851"/>
        <w:rPr>
          <w:rFonts w:ascii="Times New Roman" w:hAnsi="Times New Roman"/>
          <w:sz w:val="28"/>
          <w:szCs w:val="28"/>
        </w:rPr>
      </w:pPr>
    </w:p>
    <w:p w:rsidR="00593523" w:rsidRDefault="004A1AD2">
      <w:pPr>
        <w:ind w:right="-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заключение, слова благодарности, хочу сказать главе муниципального образования Ейский район  Бублик Роману Юрьевичу, его заместителям и руководителям служб за внимание и постоянную поддержку в решении пр</w:t>
      </w:r>
      <w:r>
        <w:rPr>
          <w:rFonts w:ascii="Times New Roman" w:hAnsi="Times New Roman"/>
          <w:sz w:val="28"/>
          <w:szCs w:val="28"/>
        </w:rPr>
        <w:t>облемных вопросов.</w:t>
      </w:r>
    </w:p>
    <w:p w:rsidR="00593523" w:rsidRDefault="004A1AD2">
      <w:pPr>
        <w:shd w:val="clear" w:color="auto" w:fill="FFFFFF"/>
        <w:ind w:right="-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Также хочется выразить глубокую благодарность и признательность всем жителям поселения, трудовым коллективам, депутатам, фермерам, индивидуальным предпринимателям и руководителям всех уровней за понимание и поддержку, совместную плодотв</w:t>
      </w:r>
      <w:r>
        <w:rPr>
          <w:rFonts w:ascii="Times New Roman" w:hAnsi="Times New Roman"/>
          <w:sz w:val="28"/>
          <w:szCs w:val="28"/>
        </w:rPr>
        <w:t xml:space="preserve">орную работу в минувшем году.       </w:t>
      </w:r>
      <w:r>
        <w:rPr>
          <w:rFonts w:ascii="Times New Roman" w:hAnsi="Times New Roman"/>
          <w:bCs/>
          <w:sz w:val="28"/>
          <w:szCs w:val="28"/>
          <w:lang w:eastAsia="ru-RU"/>
        </w:rPr>
        <w:t>Спасибо !  Доклад окончен!</w:t>
      </w:r>
      <w:r>
        <w:rPr>
          <w:rFonts w:ascii="Times New Roman" w:eastAsia="Times New Roman" w:hAnsi="Times New Roman"/>
          <w:color w:val="00B050"/>
          <w:sz w:val="24"/>
          <w:szCs w:val="24"/>
        </w:rPr>
        <w:t>.</w:t>
      </w:r>
    </w:p>
    <w:p w:rsidR="00593523" w:rsidRDefault="00593523"/>
    <w:sectPr w:rsidR="0059352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D2" w:rsidRDefault="004A1AD2">
      <w:pPr>
        <w:spacing w:line="240" w:lineRule="auto"/>
      </w:pPr>
      <w:r>
        <w:separator/>
      </w:r>
    </w:p>
  </w:endnote>
  <w:endnote w:type="continuationSeparator" w:id="0">
    <w:p w:rsidR="004A1AD2" w:rsidRDefault="004A1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CC"/>
    <w:family w:val="auto"/>
    <w:pitch w:val="default"/>
  </w:font>
  <w:font w:name="Roboto Condense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053257"/>
    </w:sdtPr>
    <w:sdtEndPr/>
    <w:sdtContent>
      <w:p w:rsidR="00593523" w:rsidRDefault="004A1A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5ED">
          <w:rPr>
            <w:noProof/>
          </w:rPr>
          <w:t>2</w:t>
        </w:r>
        <w:r>
          <w:fldChar w:fldCharType="end"/>
        </w:r>
      </w:p>
    </w:sdtContent>
  </w:sdt>
  <w:p w:rsidR="00593523" w:rsidRDefault="005935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D2" w:rsidRDefault="004A1AD2">
      <w:pPr>
        <w:spacing w:after="0"/>
      </w:pPr>
      <w:r>
        <w:separator/>
      </w:r>
    </w:p>
  </w:footnote>
  <w:footnote w:type="continuationSeparator" w:id="0">
    <w:p w:rsidR="004A1AD2" w:rsidRDefault="004A1A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844593"/>
    </w:sdtPr>
    <w:sdtEndPr/>
    <w:sdtContent>
      <w:p w:rsidR="00593523" w:rsidRDefault="004A1A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5ED">
          <w:rPr>
            <w:noProof/>
          </w:rPr>
          <w:t>2</w:t>
        </w:r>
        <w:r>
          <w:fldChar w:fldCharType="end"/>
        </w:r>
      </w:p>
    </w:sdtContent>
  </w:sdt>
  <w:p w:rsidR="00593523" w:rsidRDefault="005935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2F8C"/>
    <w:multiLevelType w:val="multilevel"/>
    <w:tmpl w:val="17262F8C"/>
    <w:lvl w:ilvl="0">
      <w:start w:val="9"/>
      <w:numFmt w:val="bullet"/>
      <w:lvlText w:val="-"/>
      <w:lvlJc w:val="left"/>
      <w:pPr>
        <w:tabs>
          <w:tab w:val="left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BA665C1"/>
    <w:multiLevelType w:val="multilevel"/>
    <w:tmpl w:val="7BA665C1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F1"/>
    <w:rsid w:val="00001FDA"/>
    <w:rsid w:val="00005B8C"/>
    <w:rsid w:val="00005FD2"/>
    <w:rsid w:val="000105ED"/>
    <w:rsid w:val="00012880"/>
    <w:rsid w:val="00047E35"/>
    <w:rsid w:val="00087802"/>
    <w:rsid w:val="000A2055"/>
    <w:rsid w:val="000C34E6"/>
    <w:rsid w:val="000E1FFE"/>
    <w:rsid w:val="00102AB4"/>
    <w:rsid w:val="00113C53"/>
    <w:rsid w:val="001208D7"/>
    <w:rsid w:val="00124675"/>
    <w:rsid w:val="00182B9C"/>
    <w:rsid w:val="00193784"/>
    <w:rsid w:val="001937E2"/>
    <w:rsid w:val="001A28C7"/>
    <w:rsid w:val="0020163F"/>
    <w:rsid w:val="002258A6"/>
    <w:rsid w:val="002B12D0"/>
    <w:rsid w:val="002E6392"/>
    <w:rsid w:val="002F2317"/>
    <w:rsid w:val="002F78A5"/>
    <w:rsid w:val="00313EDB"/>
    <w:rsid w:val="00316406"/>
    <w:rsid w:val="0033034B"/>
    <w:rsid w:val="00337E57"/>
    <w:rsid w:val="003632FB"/>
    <w:rsid w:val="003667BE"/>
    <w:rsid w:val="003735D7"/>
    <w:rsid w:val="003943F1"/>
    <w:rsid w:val="003B3BCE"/>
    <w:rsid w:val="003B43E3"/>
    <w:rsid w:val="003B754E"/>
    <w:rsid w:val="003D4A0F"/>
    <w:rsid w:val="003D6B2A"/>
    <w:rsid w:val="003F4457"/>
    <w:rsid w:val="00400B59"/>
    <w:rsid w:val="004078CF"/>
    <w:rsid w:val="00432760"/>
    <w:rsid w:val="0044453B"/>
    <w:rsid w:val="00462C67"/>
    <w:rsid w:val="00476A66"/>
    <w:rsid w:val="00480004"/>
    <w:rsid w:val="0048198A"/>
    <w:rsid w:val="004A1AD2"/>
    <w:rsid w:val="004B7E2B"/>
    <w:rsid w:val="004E0D1F"/>
    <w:rsid w:val="00532C13"/>
    <w:rsid w:val="00555269"/>
    <w:rsid w:val="00593523"/>
    <w:rsid w:val="005B48B6"/>
    <w:rsid w:val="005B7F5B"/>
    <w:rsid w:val="005E3071"/>
    <w:rsid w:val="005F2D96"/>
    <w:rsid w:val="005F7A85"/>
    <w:rsid w:val="00630EC9"/>
    <w:rsid w:val="00631959"/>
    <w:rsid w:val="00637C16"/>
    <w:rsid w:val="00653B41"/>
    <w:rsid w:val="00662E1D"/>
    <w:rsid w:val="00675EB7"/>
    <w:rsid w:val="00683278"/>
    <w:rsid w:val="006A42A3"/>
    <w:rsid w:val="006A4F39"/>
    <w:rsid w:val="006E395E"/>
    <w:rsid w:val="006F7105"/>
    <w:rsid w:val="007211D7"/>
    <w:rsid w:val="007230A5"/>
    <w:rsid w:val="007405E6"/>
    <w:rsid w:val="00740833"/>
    <w:rsid w:val="007713C4"/>
    <w:rsid w:val="00782CDE"/>
    <w:rsid w:val="00791493"/>
    <w:rsid w:val="007A09AC"/>
    <w:rsid w:val="007A3948"/>
    <w:rsid w:val="007A6F8B"/>
    <w:rsid w:val="007B6E8A"/>
    <w:rsid w:val="007E6A12"/>
    <w:rsid w:val="007E782D"/>
    <w:rsid w:val="007F369B"/>
    <w:rsid w:val="0082271A"/>
    <w:rsid w:val="008335FF"/>
    <w:rsid w:val="00844FBA"/>
    <w:rsid w:val="008651ED"/>
    <w:rsid w:val="00892BE2"/>
    <w:rsid w:val="008934C9"/>
    <w:rsid w:val="00896A24"/>
    <w:rsid w:val="008E7B2E"/>
    <w:rsid w:val="00900134"/>
    <w:rsid w:val="0092355E"/>
    <w:rsid w:val="009407E5"/>
    <w:rsid w:val="00960979"/>
    <w:rsid w:val="00965101"/>
    <w:rsid w:val="00980654"/>
    <w:rsid w:val="00992747"/>
    <w:rsid w:val="00993171"/>
    <w:rsid w:val="009934BF"/>
    <w:rsid w:val="009A028E"/>
    <w:rsid w:val="009B1DDA"/>
    <w:rsid w:val="009D1B9E"/>
    <w:rsid w:val="009E2739"/>
    <w:rsid w:val="009F6E75"/>
    <w:rsid w:val="00A21057"/>
    <w:rsid w:val="00A3186F"/>
    <w:rsid w:val="00A45879"/>
    <w:rsid w:val="00A52F15"/>
    <w:rsid w:val="00A750F4"/>
    <w:rsid w:val="00AD5EFE"/>
    <w:rsid w:val="00B064E9"/>
    <w:rsid w:val="00B23445"/>
    <w:rsid w:val="00B31200"/>
    <w:rsid w:val="00B36A58"/>
    <w:rsid w:val="00B72D69"/>
    <w:rsid w:val="00B74EC9"/>
    <w:rsid w:val="00B77D0B"/>
    <w:rsid w:val="00B822CD"/>
    <w:rsid w:val="00B84F3F"/>
    <w:rsid w:val="00B977FF"/>
    <w:rsid w:val="00BA5EDB"/>
    <w:rsid w:val="00C01BF0"/>
    <w:rsid w:val="00C70A5F"/>
    <w:rsid w:val="00C75A96"/>
    <w:rsid w:val="00C75BBD"/>
    <w:rsid w:val="00C831F8"/>
    <w:rsid w:val="00C95ED6"/>
    <w:rsid w:val="00C975B5"/>
    <w:rsid w:val="00CC1F7E"/>
    <w:rsid w:val="00CD5FCE"/>
    <w:rsid w:val="00CD73A2"/>
    <w:rsid w:val="00CF0C39"/>
    <w:rsid w:val="00CF518F"/>
    <w:rsid w:val="00CF6B4A"/>
    <w:rsid w:val="00D07ABF"/>
    <w:rsid w:val="00D43093"/>
    <w:rsid w:val="00D538D9"/>
    <w:rsid w:val="00D90CB8"/>
    <w:rsid w:val="00D9238D"/>
    <w:rsid w:val="00DC0CFC"/>
    <w:rsid w:val="00DC1AE5"/>
    <w:rsid w:val="00DF5EDA"/>
    <w:rsid w:val="00E01877"/>
    <w:rsid w:val="00E127D3"/>
    <w:rsid w:val="00E302E4"/>
    <w:rsid w:val="00E41804"/>
    <w:rsid w:val="00E81E3D"/>
    <w:rsid w:val="00EA5DC3"/>
    <w:rsid w:val="00EB4849"/>
    <w:rsid w:val="00EC225F"/>
    <w:rsid w:val="00EC22E6"/>
    <w:rsid w:val="00EE0886"/>
    <w:rsid w:val="00EE34AF"/>
    <w:rsid w:val="00EF4644"/>
    <w:rsid w:val="00F01945"/>
    <w:rsid w:val="00F030E5"/>
    <w:rsid w:val="00F03E08"/>
    <w:rsid w:val="00F07E74"/>
    <w:rsid w:val="00F406A7"/>
    <w:rsid w:val="00F61D83"/>
    <w:rsid w:val="00F62946"/>
    <w:rsid w:val="00F63785"/>
    <w:rsid w:val="00F64948"/>
    <w:rsid w:val="00F86B86"/>
    <w:rsid w:val="00F87D29"/>
    <w:rsid w:val="00F95D3B"/>
    <w:rsid w:val="00FC014D"/>
    <w:rsid w:val="00FC16A3"/>
    <w:rsid w:val="00FD6193"/>
    <w:rsid w:val="00FE3787"/>
    <w:rsid w:val="00FF2969"/>
    <w:rsid w:val="55BB2BA5"/>
    <w:rsid w:val="56E6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link w:val="a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oject-view-itementrypia02">
    <w:name w:val="project-view-item_entry_pia02"/>
    <w:basedOn w:val="a0"/>
  </w:style>
  <w:style w:type="character" w:customStyle="1" w:styleId="aa">
    <w:name w:val="Обычный (веб) Знак"/>
    <w:link w:val="a9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qFormat/>
    <w:locked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qFormat/>
    <w:pPr>
      <w:widowControl w:val="0"/>
      <w:shd w:val="clear" w:color="auto" w:fill="FFFFFF"/>
      <w:spacing w:after="0" w:line="240" w:lineRule="auto"/>
      <w:ind w:firstLine="40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link w:val="a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oject-view-itementrypia02">
    <w:name w:val="project-view-item_entry_pia02"/>
    <w:basedOn w:val="a0"/>
  </w:style>
  <w:style w:type="character" w:customStyle="1" w:styleId="aa">
    <w:name w:val="Обычный (веб) Знак"/>
    <w:link w:val="a9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qFormat/>
    <w:locked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qFormat/>
    <w:pPr>
      <w:widowControl w:val="0"/>
      <w:shd w:val="clear" w:color="auto" w:fill="FFFFFF"/>
      <w:spacing w:after="0" w:line="240" w:lineRule="auto"/>
      <w:ind w:firstLine="40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7E9A-C938-44BD-8DF9-5AC56E29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2023-02-28T05:36:00Z</cp:lastPrinted>
  <dcterms:created xsi:type="dcterms:W3CDTF">2023-02-28T05:39:00Z</dcterms:created>
  <dcterms:modified xsi:type="dcterms:W3CDTF">2023-02-28T05:39:00Z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60BC1093070E4E5BBF92ED0FE7FCFE5C</vt:lpwstr>
  </property>
</Properties>
</file>